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Pikaxml</w:t>
      </w:r>
      <w:proofErr w:type="spellEnd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-läheteliikenteen tarkennus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 hoitopäätösilmoituksen osalta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Versio 0.</w:t>
      </w:r>
      <w:r w:rsidR="00425698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3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425698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13.5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.2025</w:t>
      </w:r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7370DF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1.2.246.777.11.2025</w:t>
      </w:r>
      <w:r w:rsidR="00A5216C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.X</w:t>
      </w:r>
    </w:p>
    <w:p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:rsidR="00A5216C" w:rsidRPr="000D4DC1" w:rsidRDefault="00A5216C" w:rsidP="00A5216C">
      <w:r w:rsidRPr="000D4DC1">
        <w:lastRenderedPageBreak/>
        <w:t>Versi</w:t>
      </w:r>
      <w:r>
        <w:t>ohistoria</w:t>
      </w:r>
    </w:p>
    <w:p w:rsidR="00A5216C" w:rsidRPr="000D4DC1" w:rsidRDefault="00A5216C" w:rsidP="00A5216C"/>
    <w:p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A5216C" w:rsidRPr="000D4DC1" w:rsidTr="009658ED">
        <w:tc>
          <w:tcPr>
            <w:tcW w:w="2214" w:type="dxa"/>
          </w:tcPr>
          <w:p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Kuvaus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D86BCE" w:rsidP="009658ED">
            <w:r>
              <w:t>26</w:t>
            </w:r>
            <w:r w:rsidR="007370DF">
              <w:t>.3.2025</w:t>
            </w:r>
          </w:p>
        </w:tc>
        <w:tc>
          <w:tcPr>
            <w:tcW w:w="2214" w:type="dxa"/>
          </w:tcPr>
          <w:p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:rsidR="00A5216C" w:rsidRPr="001B7C05" w:rsidRDefault="00A5216C" w:rsidP="009658ED">
            <w:r w:rsidRPr="001B7C05">
              <w:t xml:space="preserve">Timo </w:t>
            </w:r>
            <w:proofErr w:type="spellStart"/>
            <w:r w:rsidRPr="001B7C05"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D13B5" w:rsidP="009658ED">
            <w:r>
              <w:t>Ens</w:t>
            </w:r>
            <w:r w:rsidR="007370DF">
              <w:t xml:space="preserve">immäinen versio työryhmäkokouksen jälkeen (HUS, Apotti, </w:t>
            </w:r>
            <w:proofErr w:type="spellStart"/>
            <w:r w:rsidR="007370DF">
              <w:t>Tietoevry</w:t>
            </w:r>
            <w:proofErr w:type="spellEnd"/>
            <w:r w:rsidR="007370DF">
              <w:t>, NHG, Tietotarha)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1E7E74" w:rsidP="009658ED">
            <w:r>
              <w:t>17.4.2025</w:t>
            </w:r>
          </w:p>
        </w:tc>
        <w:tc>
          <w:tcPr>
            <w:tcW w:w="2214" w:type="dxa"/>
          </w:tcPr>
          <w:p w:rsidR="00A5216C" w:rsidRPr="001B7C05" w:rsidRDefault="001E7E74" w:rsidP="009658ED">
            <w:r>
              <w:t>0.2</w:t>
            </w:r>
          </w:p>
        </w:tc>
        <w:tc>
          <w:tcPr>
            <w:tcW w:w="2214" w:type="dxa"/>
          </w:tcPr>
          <w:p w:rsidR="00A5216C" w:rsidRPr="001B7C05" w:rsidRDefault="001E7E74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1E7E74" w:rsidP="009658ED">
            <w:proofErr w:type="gramStart"/>
            <w:r>
              <w:t>Täydennetty versio 14.4 kokouksen perusteella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425698" w:rsidP="009658ED">
            <w:r>
              <w:t>13.5.2025</w:t>
            </w:r>
          </w:p>
        </w:tc>
        <w:tc>
          <w:tcPr>
            <w:tcW w:w="2214" w:type="dxa"/>
          </w:tcPr>
          <w:p w:rsidR="00A5216C" w:rsidRPr="001B7C05" w:rsidRDefault="00425698" w:rsidP="009658ED">
            <w:r>
              <w:t>0.3</w:t>
            </w:r>
          </w:p>
        </w:tc>
        <w:tc>
          <w:tcPr>
            <w:tcW w:w="2214" w:type="dxa"/>
          </w:tcPr>
          <w:p w:rsidR="00A5216C" w:rsidRPr="001B7C05" w:rsidRDefault="00425698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25698" w:rsidP="009658ED">
            <w:proofErr w:type="gramStart"/>
            <w:r>
              <w:t>Muutettu viimeinen kappale 12.5 kokouksen perusteella.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</w:tbl>
    <w:p w:rsidR="00A5216C" w:rsidRPr="001B7C05" w:rsidRDefault="00A5216C" w:rsidP="00A5216C"/>
    <w:p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:rsidR="00FE748C" w:rsidRPr="00FE748C" w:rsidRDefault="00FE748C" w:rsidP="00FE748C">
          <w:pPr>
            <w:rPr>
              <w:lang w:eastAsia="fi-FI"/>
            </w:rPr>
          </w:pPr>
        </w:p>
        <w:p w:rsidR="00AA7E2C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3360679" w:history="1">
            <w:r w:rsidR="00AA7E2C" w:rsidRPr="00BD4F79">
              <w:rPr>
                <w:rStyle w:val="Hyperlinkki"/>
                <w:noProof/>
                <w:lang w:eastAsia="fi-FI"/>
              </w:rPr>
              <w:t>1 Taustaa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_Toc193360679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4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AA7E2C" w:rsidRDefault="00C40B3E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93360680" w:history="1">
            <w:r w:rsidR="00AA7E2C" w:rsidRPr="00BD4F79">
              <w:rPr>
                <w:rStyle w:val="Hyperlinkki"/>
                <w:noProof/>
                <w:lang w:eastAsia="fi-FI"/>
              </w:rPr>
              <w:t>2 Ongelman kuvaus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_Toc193360680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4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AA7E2C" w:rsidRDefault="00C40B3E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93360681" w:history="1">
            <w:r w:rsidR="00AA7E2C" w:rsidRPr="00BD4F79">
              <w:rPr>
                <w:rStyle w:val="Hyperlinkki"/>
                <w:noProof/>
                <w:lang w:eastAsia="fi-FI"/>
              </w:rPr>
              <w:t>3 Ongelman rajaus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_Toc193360681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4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AA7E2C" w:rsidRDefault="00C40B3E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93360682" w:history="1">
            <w:r w:rsidR="00AA7E2C" w:rsidRPr="00BD4F79">
              <w:rPr>
                <w:rStyle w:val="Hyperlinkki"/>
                <w:noProof/>
                <w:lang w:eastAsia="fi-FI"/>
              </w:rPr>
              <w:t>4 HOP-sanoman käyttö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_Toc193360682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5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AA7E2C" w:rsidRDefault="00C40B3E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93360683" w:history="1">
            <w:r w:rsidR="00AA7E2C" w:rsidRPr="00BD4F79">
              <w:rPr>
                <w:rStyle w:val="Hyperlinkki"/>
                <w:noProof/>
                <w:lang w:eastAsia="fi-FI"/>
              </w:rPr>
              <w:t>5 VHO-sanoman käyttö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_Toc193360683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6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AA7E2C" w:rsidRDefault="00C40B3E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93360684" w:history="1">
            <w:r w:rsidR="00AA7E2C" w:rsidRPr="00BD4F79">
              <w:rPr>
                <w:rStyle w:val="Hyperlinkki"/>
                <w:noProof/>
                <w:lang w:eastAsia="fi-FI"/>
              </w:rPr>
              <w:t>6 Muuta</w:t>
            </w:r>
            <w:r w:rsidR="00AA7E2C">
              <w:rPr>
                <w:noProof/>
                <w:webHidden/>
              </w:rPr>
              <w:tab/>
            </w:r>
            <w:r w:rsidR="00AA7E2C">
              <w:rPr>
                <w:noProof/>
                <w:webHidden/>
              </w:rPr>
              <w:fldChar w:fldCharType="begin"/>
            </w:r>
            <w:r w:rsidR="00AA7E2C">
              <w:rPr>
                <w:noProof/>
                <w:webHidden/>
              </w:rPr>
              <w:instrText xml:space="preserve"> PAGEREF _Toc193360684 \h </w:instrText>
            </w:r>
            <w:r w:rsidR="00AA7E2C">
              <w:rPr>
                <w:noProof/>
                <w:webHidden/>
              </w:rPr>
            </w:r>
            <w:r w:rsidR="00AA7E2C">
              <w:rPr>
                <w:noProof/>
                <w:webHidden/>
              </w:rPr>
              <w:fldChar w:fldCharType="separate"/>
            </w:r>
            <w:r w:rsidR="001E7E74">
              <w:rPr>
                <w:noProof/>
                <w:webHidden/>
              </w:rPr>
              <w:t>6</w:t>
            </w:r>
            <w:r w:rsidR="00AA7E2C"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Pr="008970BB" w:rsidRDefault="007370DF" w:rsidP="00FA7EE6">
      <w:pPr>
        <w:pStyle w:val="Otsikko1"/>
        <w:rPr>
          <w:szCs w:val="24"/>
          <w:lang w:eastAsia="fi-FI"/>
        </w:rPr>
      </w:pPr>
      <w:bookmarkStart w:id="0" w:name="_Toc193360679"/>
      <w:proofErr w:type="spellStart"/>
      <w:r>
        <w:rPr>
          <w:szCs w:val="24"/>
          <w:lang w:eastAsia="fi-FI"/>
        </w:rPr>
        <w:lastRenderedPageBreak/>
        <w:t>Taustaa</w:t>
      </w:r>
      <w:bookmarkEnd w:id="0"/>
      <w:proofErr w:type="spellEnd"/>
    </w:p>
    <w:p w:rsidR="007370DF" w:rsidRPr="007370DF" w:rsidRDefault="007370DF" w:rsidP="007370DF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Suomessa potilashallinnon lähete/palaute-liikenne hoidetaan </w:t>
      </w:r>
      <w:proofErr w:type="spellStart"/>
      <w:r>
        <w:rPr>
          <w:sz w:val="24"/>
          <w:lang w:val="fi-FI" w:eastAsia="fi-FI"/>
        </w:rPr>
        <w:t>pikaxml</w:t>
      </w:r>
      <w:proofErr w:type="spellEnd"/>
      <w:r>
        <w:rPr>
          <w:sz w:val="24"/>
          <w:lang w:val="fi-FI" w:eastAsia="fi-FI"/>
        </w:rPr>
        <w:t xml:space="preserve">-sanomilla. HL7 Finland on </w:t>
      </w:r>
      <w:r w:rsidRPr="007370DF">
        <w:rPr>
          <w:sz w:val="24"/>
          <w:lang w:val="fi-FI" w:eastAsia="fi-FI"/>
        </w:rPr>
        <w:t xml:space="preserve">aikoinaan </w:t>
      </w:r>
      <w:r>
        <w:rPr>
          <w:sz w:val="24"/>
          <w:lang w:val="fi-FI" w:eastAsia="fi-FI"/>
        </w:rPr>
        <w:t xml:space="preserve">ottanut </w:t>
      </w:r>
      <w:r w:rsidRPr="007370DF">
        <w:rPr>
          <w:sz w:val="24"/>
          <w:lang w:val="fi-FI" w:eastAsia="fi-FI"/>
        </w:rPr>
        <w:t xml:space="preserve">Suomen </w:t>
      </w:r>
      <w:proofErr w:type="spellStart"/>
      <w:r w:rsidRPr="007370DF">
        <w:rPr>
          <w:sz w:val="24"/>
          <w:lang w:val="fi-FI" w:eastAsia="fi-FI"/>
        </w:rPr>
        <w:t>Pikaxml</w:t>
      </w:r>
      <w:proofErr w:type="spellEnd"/>
      <w:r w:rsidRPr="007370DF">
        <w:rPr>
          <w:sz w:val="24"/>
          <w:lang w:val="fi-FI" w:eastAsia="fi-FI"/>
        </w:rPr>
        <w:t xml:space="preserve"> lähete/palautemäärityksen teknisen hallintavastuun. </w:t>
      </w:r>
    </w:p>
    <w:p w:rsidR="001D451C" w:rsidRDefault="007370DF" w:rsidP="007370DF">
      <w:pPr>
        <w:pStyle w:val="Leipteksti"/>
        <w:rPr>
          <w:sz w:val="24"/>
          <w:lang w:val="fi-FI" w:eastAsia="fi-FI"/>
        </w:rPr>
      </w:pPr>
      <w:r w:rsidRPr="007370DF">
        <w:rPr>
          <w:sz w:val="24"/>
          <w:lang w:val="fi-FI" w:eastAsia="fi-FI"/>
        </w:rPr>
        <w:t>Määrityksestä on tehty XML skeema ja on tarkennettu ja lisätty kuittausmen</w:t>
      </w:r>
      <w:r>
        <w:rPr>
          <w:sz w:val="24"/>
          <w:lang w:val="fi-FI" w:eastAsia="fi-FI"/>
        </w:rPr>
        <w:t xml:space="preserve">etelmiä. Semanttiseen sisältöön </w:t>
      </w:r>
      <w:r w:rsidRPr="007370DF">
        <w:rPr>
          <w:sz w:val="24"/>
          <w:lang w:val="fi-FI" w:eastAsia="fi-FI"/>
        </w:rPr>
        <w:t>ei ole juurikaan puututtu. Semanttisestä sisällöstä ei ole virallista määritystä</w:t>
      </w:r>
      <w:r>
        <w:rPr>
          <w:sz w:val="24"/>
          <w:lang w:val="fi-FI" w:eastAsia="fi-FI"/>
        </w:rPr>
        <w:t xml:space="preserve">. Semanttinen tulkinta perustuu </w:t>
      </w:r>
      <w:proofErr w:type="spellStart"/>
      <w:r w:rsidRPr="007370DF">
        <w:rPr>
          <w:sz w:val="24"/>
          <w:lang w:val="fi-FI" w:eastAsia="fi-FI"/>
        </w:rPr>
        <w:t>Medici</w:t>
      </w:r>
      <w:proofErr w:type="spellEnd"/>
      <w:r w:rsidRPr="007370DF">
        <w:rPr>
          <w:sz w:val="24"/>
          <w:lang w:val="fi-FI" w:eastAsia="fi-FI"/>
        </w:rPr>
        <w:t xml:space="preserve"> Datan tekemään dokumentaatioon. Sementtinen sisältö periy</w:t>
      </w:r>
      <w:r>
        <w:rPr>
          <w:sz w:val="24"/>
          <w:lang w:val="fi-FI" w:eastAsia="fi-FI"/>
        </w:rPr>
        <w:t xml:space="preserve">tyy aikoinaan käytössä olleista </w:t>
      </w:r>
      <w:proofErr w:type="spellStart"/>
      <w:r w:rsidRPr="007370DF">
        <w:rPr>
          <w:sz w:val="24"/>
          <w:lang w:val="fi-FI" w:eastAsia="fi-FI"/>
        </w:rPr>
        <w:t>CEN:in</w:t>
      </w:r>
      <w:proofErr w:type="spellEnd"/>
      <w:r w:rsidRPr="007370DF">
        <w:rPr>
          <w:sz w:val="24"/>
          <w:lang w:val="fi-FI" w:eastAsia="fi-FI"/>
        </w:rPr>
        <w:t xml:space="preserve"> EDIFACT lähetteen ja hoitopalautteen </w:t>
      </w:r>
      <w:r>
        <w:rPr>
          <w:sz w:val="24"/>
          <w:lang w:val="fi-FI" w:eastAsia="fi-FI"/>
        </w:rPr>
        <w:t>sanomamäärityksistä, joita Kuntaliton OVT-koordinaatioryhmä muokkasi.</w:t>
      </w:r>
    </w:p>
    <w:p w:rsidR="009578CC" w:rsidRDefault="007370DF" w:rsidP="009578CC">
      <w:pPr>
        <w:pStyle w:val="Otsikko1"/>
        <w:rPr>
          <w:lang w:eastAsia="fi-FI"/>
        </w:rPr>
      </w:pPr>
      <w:bookmarkStart w:id="1" w:name="_Toc193360680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kuvaus</w:t>
      </w:r>
      <w:bookmarkEnd w:id="1"/>
      <w:proofErr w:type="spellEnd"/>
    </w:p>
    <w:p w:rsidR="006B40E7" w:rsidRDefault="006B40E7" w:rsidP="006B40E7">
      <w:pPr>
        <w:pStyle w:val="Leipteksti"/>
        <w:rPr>
          <w:sz w:val="24"/>
          <w:lang w:val="fi-FI" w:eastAsia="fi-FI"/>
        </w:rPr>
      </w:pPr>
      <w:r w:rsidRPr="006B40E7">
        <w:rPr>
          <w:sz w:val="24"/>
          <w:lang w:val="fi-FI" w:eastAsia="fi-FI"/>
        </w:rPr>
        <w:t>Lähete hyväksytään HOP-sanomalla</w:t>
      </w:r>
      <w:r w:rsidR="00AA7E2C">
        <w:rPr>
          <w:sz w:val="24"/>
          <w:lang w:val="fi-FI" w:eastAsia="fi-FI"/>
        </w:rPr>
        <w:t>, joka on hoitopäätösilmoitus</w:t>
      </w:r>
      <w:r>
        <w:rPr>
          <w:sz w:val="24"/>
          <w:lang w:val="fi-FI" w:eastAsia="fi-FI"/>
        </w:rPr>
        <w:t>.</w:t>
      </w:r>
      <w:r w:rsidRPr="006B40E7">
        <w:rPr>
          <w:sz w:val="24"/>
          <w:lang w:val="fi-FI" w:eastAsia="fi-FI"/>
        </w:rPr>
        <w:t xml:space="preserve"> </w:t>
      </w:r>
      <w:r>
        <w:rPr>
          <w:sz w:val="24"/>
          <w:lang w:val="fi-FI" w:eastAsia="fi-FI"/>
        </w:rPr>
        <w:t>HOP-sanomassa välitetään myös</w:t>
      </w:r>
      <w:r w:rsidRPr="006B40E7">
        <w:rPr>
          <w:sz w:val="24"/>
          <w:lang w:val="fi-FI" w:eastAsia="fi-FI"/>
        </w:rPr>
        <w:t xml:space="preserve"> o</w:t>
      </w:r>
      <w:r>
        <w:rPr>
          <w:sz w:val="24"/>
          <w:lang w:val="fi-FI" w:eastAsia="fi-FI"/>
        </w:rPr>
        <w:t xml:space="preserve">hjeita ennen varsinaisen hoidon </w:t>
      </w:r>
      <w:r w:rsidRPr="006B40E7">
        <w:rPr>
          <w:sz w:val="24"/>
          <w:lang w:val="fi-FI" w:eastAsia="fi-FI"/>
        </w:rPr>
        <w:t>aloittamista</w:t>
      </w:r>
      <w:r>
        <w:rPr>
          <w:sz w:val="24"/>
          <w:lang w:val="fi-FI" w:eastAsia="fi-FI"/>
        </w:rPr>
        <w:t>.</w:t>
      </w:r>
    </w:p>
    <w:p w:rsidR="00F23A7C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Osa järjestelmätoimittajista on sitä mieltä, että HOP-sanoma on pelkästään tilasanom</w:t>
      </w:r>
      <w:r w:rsidR="00AA7E2C">
        <w:rPr>
          <w:sz w:val="24"/>
          <w:lang w:val="fi-FI" w:eastAsia="fi-FI"/>
        </w:rPr>
        <w:t>a ja ohjeet pitäisi välittää VHO</w:t>
      </w:r>
      <w:r>
        <w:rPr>
          <w:sz w:val="24"/>
          <w:lang w:val="fi-FI" w:eastAsia="fi-FI"/>
        </w:rPr>
        <w:t>-sanomalla</w:t>
      </w:r>
      <w:r w:rsidR="00AA7E2C">
        <w:rPr>
          <w:sz w:val="24"/>
          <w:lang w:val="fi-FI" w:eastAsia="fi-FI"/>
        </w:rPr>
        <w:t>, joka on välihoitopalaute</w:t>
      </w:r>
      <w:r>
        <w:rPr>
          <w:sz w:val="24"/>
          <w:lang w:val="fi-FI" w:eastAsia="fi-FI"/>
        </w:rPr>
        <w:t xml:space="preserve">. Kaikki vastaanottajat </w:t>
      </w:r>
      <w:r w:rsidRPr="006B40E7">
        <w:rPr>
          <w:sz w:val="24"/>
          <w:lang w:val="fi-FI" w:eastAsia="fi-FI"/>
        </w:rPr>
        <w:t>eivät taa</w:t>
      </w:r>
      <w:r w:rsidR="00AA7E2C">
        <w:rPr>
          <w:sz w:val="24"/>
          <w:lang w:val="fi-FI" w:eastAsia="fi-FI"/>
        </w:rPr>
        <w:t>sen tue VHO</w:t>
      </w:r>
      <w:r w:rsidRPr="006B40E7">
        <w:rPr>
          <w:sz w:val="24"/>
          <w:lang w:val="fi-FI" w:eastAsia="fi-FI"/>
        </w:rPr>
        <w:t>-sanomaa.</w:t>
      </w:r>
    </w:p>
    <w:p w:rsidR="006B40E7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HOP-sanomia liikkuu paljon, useimmiten niissä on automaattisesti generoitu vakioteksti.</w:t>
      </w:r>
    </w:p>
    <w:p w:rsidR="001E7E74" w:rsidRDefault="001E7E74" w:rsidP="00CD41C5">
      <w:pPr>
        <w:pStyle w:val="Otsikko1"/>
        <w:rPr>
          <w:lang w:eastAsia="fi-FI"/>
        </w:rPr>
      </w:pPr>
      <w:proofErr w:type="spellStart"/>
      <w:r>
        <w:rPr>
          <w:lang w:eastAsia="fi-FI"/>
        </w:rPr>
        <w:t>Muutoksen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tarve</w:t>
      </w:r>
      <w:proofErr w:type="spellEnd"/>
    </w:p>
    <w:p w:rsidR="001E7E74" w:rsidRPr="00CD41C5" w:rsidRDefault="001E7E74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>Muutoksella pyritään par</w:t>
      </w:r>
      <w:r w:rsidRPr="001E7E74">
        <w:rPr>
          <w:sz w:val="24"/>
          <w:lang w:val="fi-FI" w:eastAsia="fi-FI"/>
        </w:rPr>
        <w:t>antamaan potilaan hoidon</w:t>
      </w:r>
      <w:r>
        <w:rPr>
          <w:sz w:val="24"/>
          <w:lang w:val="fi-FI" w:eastAsia="fi-FI"/>
        </w:rPr>
        <w:t xml:space="preserve"> </w:t>
      </w:r>
      <w:r w:rsidRPr="001E7E74">
        <w:rPr>
          <w:sz w:val="24"/>
          <w:lang w:val="fi-FI" w:eastAsia="fi-FI"/>
        </w:rPr>
        <w:t>laatua</w:t>
      </w:r>
      <w:r w:rsidRPr="00CD41C5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Hoitopäätösilmoituksen yhteydessä annetut lisätietojen tulisi aiheuttaa heräte lähettävässä järjestelmässä.</w:t>
      </w:r>
    </w:p>
    <w:p w:rsidR="006B40E7" w:rsidRDefault="006B40E7" w:rsidP="005A44D4">
      <w:pPr>
        <w:pStyle w:val="Otsikko1"/>
        <w:rPr>
          <w:lang w:eastAsia="fi-FI"/>
        </w:rPr>
      </w:pPr>
      <w:bookmarkStart w:id="2" w:name="_Toc193360681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rajaus</w:t>
      </w:r>
      <w:bookmarkEnd w:id="2"/>
      <w:proofErr w:type="spellEnd"/>
    </w:p>
    <w:p w:rsidR="005A44D4" w:rsidRP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 xml:space="preserve">HL7 Finland ei </w:t>
      </w:r>
      <w:r>
        <w:rPr>
          <w:sz w:val="24"/>
          <w:lang w:val="fi-FI" w:eastAsia="fi-FI"/>
        </w:rPr>
        <w:t xml:space="preserve">voi </w:t>
      </w:r>
      <w:r w:rsidRPr="005A44D4">
        <w:rPr>
          <w:sz w:val="24"/>
          <w:lang w:val="fi-FI" w:eastAsia="fi-FI"/>
        </w:rPr>
        <w:t>käytännös</w:t>
      </w:r>
      <w:r>
        <w:rPr>
          <w:sz w:val="24"/>
          <w:lang w:val="fi-FI" w:eastAsia="fi-FI"/>
        </w:rPr>
        <w:t xml:space="preserve">sä määrätä, voiko ohjeet välittää HOP-sanomassa </w:t>
      </w:r>
      <w:r w:rsidRPr="005A44D4">
        <w:rPr>
          <w:sz w:val="24"/>
          <w:lang w:val="fi-FI" w:eastAsia="fi-FI"/>
        </w:rPr>
        <w:t xml:space="preserve">vai </w:t>
      </w:r>
      <w:r>
        <w:rPr>
          <w:sz w:val="24"/>
          <w:lang w:val="fi-FI" w:eastAsia="fi-FI"/>
        </w:rPr>
        <w:t xml:space="preserve">pitääkö käyttää </w:t>
      </w:r>
      <w:r w:rsidR="00AA7E2C">
        <w:rPr>
          <w:sz w:val="24"/>
          <w:lang w:val="fi-FI" w:eastAsia="fi-FI"/>
        </w:rPr>
        <w:t>VHO</w:t>
      </w:r>
      <w:r w:rsidRPr="005A44D4">
        <w:rPr>
          <w:sz w:val="24"/>
          <w:lang w:val="fi-FI" w:eastAsia="fi-FI"/>
        </w:rPr>
        <w:t>-s</w:t>
      </w:r>
      <w:r>
        <w:rPr>
          <w:sz w:val="24"/>
          <w:lang w:val="fi-FI" w:eastAsia="fi-FI"/>
        </w:rPr>
        <w:t xml:space="preserve">anomaa. Lähetteen lähettäjän ja </w:t>
      </w:r>
      <w:r w:rsidRPr="005A44D4">
        <w:rPr>
          <w:sz w:val="24"/>
          <w:lang w:val="fi-FI" w:eastAsia="fi-FI"/>
        </w:rPr>
        <w:t xml:space="preserve">vastaanottajan pitää sopia keskenään menettelytavasta. </w:t>
      </w:r>
    </w:p>
    <w:p w:rsid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>Käyte</w:t>
      </w:r>
      <w:r>
        <w:rPr>
          <w:sz w:val="24"/>
          <w:lang w:val="fi-FI" w:eastAsia="fi-FI"/>
        </w:rPr>
        <w:t>ttäessä edellä mainittuja sanomia</w:t>
      </w:r>
      <w:r w:rsidRPr="005A44D4">
        <w:rPr>
          <w:sz w:val="24"/>
          <w:lang w:val="fi-FI" w:eastAsia="fi-FI"/>
        </w:rPr>
        <w:t>, ennen hoidon al</w:t>
      </w:r>
      <w:r>
        <w:rPr>
          <w:sz w:val="24"/>
          <w:lang w:val="fi-FI" w:eastAsia="fi-FI"/>
        </w:rPr>
        <w:t xml:space="preserve">oittamista annettavat ohjeet siirretään seuraavassa </w:t>
      </w:r>
      <w:r w:rsidRPr="005A44D4">
        <w:rPr>
          <w:sz w:val="24"/>
          <w:lang w:val="fi-FI" w:eastAsia="fi-FI"/>
        </w:rPr>
        <w:t>rakenteessa:</w:t>
      </w:r>
    </w:p>
    <w:p w:rsidR="0052247C" w:rsidRP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&lt;REF_EPICRISIS_TEXT_ROWS&gt;</w:t>
      </w:r>
    </w:p>
    <w:p w:rsidR="0052247C" w:rsidRP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&lt;EPICRISIS_TEXT_ROW&gt;&lt;ROW_NUM&gt;1&lt;/ROW_NUM&gt;&lt;EPICRISIS_TEXT&gt;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>
        <w:rPr>
          <w:rFonts w:asciiTheme="minorHAnsi" w:hAnsiTheme="minorHAnsi" w:cstheme="minorHAnsi"/>
          <w:sz w:val="16"/>
          <w:szCs w:val="16"/>
          <w:lang w:eastAsia="fi-FI"/>
        </w:rPr>
        <w:t xml:space="preserve"> </w:t>
      </w:r>
      <w:r w:rsidRPr="0052247C">
        <w:rPr>
          <w:rFonts w:asciiTheme="minorHAnsi" w:hAnsiTheme="minorHAnsi" w:cstheme="minorHAnsi"/>
          <w:sz w:val="16"/>
          <w:szCs w:val="16"/>
          <w:lang w:eastAsia="fi-FI"/>
        </w:rPr>
        <w:t>1&lt;/EPICRISIS_TEXT&gt;&lt;/EPICRISIS_TEXT_ROW&gt;</w:t>
      </w:r>
    </w:p>
    <w:p w:rsidR="0052247C" w:rsidRP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2&lt;/EPICRISIS_TEXT&gt;&lt;/EPICRISIS_TEXT_ROW&gt;</w:t>
      </w:r>
    </w:p>
    <w:p w:rsidR="0052247C" w:rsidRP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3&lt;/EPICRISIS_TEXT&gt;&lt;/EPICRISIS_TEXT_ROW&gt;</w:t>
      </w:r>
    </w:p>
    <w:p w:rsid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val="fi-FI"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val="fi-FI" w:eastAsia="fi-FI"/>
        </w:rPr>
        <w:t>&lt;/REF_EPICRISIS_TEXT_ROWS</w:t>
      </w:r>
      <w:r>
        <w:rPr>
          <w:rFonts w:asciiTheme="minorHAnsi" w:hAnsiTheme="minorHAnsi" w:cstheme="minorHAnsi"/>
          <w:sz w:val="16"/>
          <w:szCs w:val="16"/>
          <w:lang w:val="fi-FI" w:eastAsia="fi-FI"/>
        </w:rPr>
        <w:t>&gt;</w:t>
      </w:r>
    </w:p>
    <w:p w:rsid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val="fi-FI" w:eastAsia="fi-FI"/>
        </w:rPr>
      </w:pPr>
    </w:p>
    <w:p w:rsidR="0052247C" w:rsidRPr="0052247C" w:rsidRDefault="0052247C" w:rsidP="0052247C">
      <w:pPr>
        <w:pStyle w:val="Otsikko1"/>
        <w:rPr>
          <w:szCs w:val="24"/>
          <w:lang w:eastAsia="fi-FI"/>
        </w:rPr>
      </w:pPr>
      <w:bookmarkStart w:id="3" w:name="_Toc193360682"/>
      <w:r>
        <w:rPr>
          <w:lang w:eastAsia="fi-FI"/>
        </w:rPr>
        <w:t>HOP-</w:t>
      </w:r>
      <w:proofErr w:type="spellStart"/>
      <w:r>
        <w:rPr>
          <w:lang w:eastAsia="fi-FI"/>
        </w:rPr>
        <w:t>sanoman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käyttö</w:t>
      </w:r>
      <w:bookmarkEnd w:id="3"/>
      <w:proofErr w:type="spellEnd"/>
    </w:p>
    <w:p w:rsidR="0052247C" w:rsidRP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>HOP-sanoma on aina tilasanoma, lähete on hyväksytty. Useimmiten HOP-san</w:t>
      </w:r>
      <w:r>
        <w:rPr>
          <w:rFonts w:cs="Arial"/>
          <w:sz w:val="24"/>
          <w:lang w:val="fi-FI" w:eastAsia="fi-FI"/>
        </w:rPr>
        <w:t xml:space="preserve">omassa on vakioteksti ja ei ole </w:t>
      </w:r>
      <w:r w:rsidRPr="0052247C">
        <w:rPr>
          <w:rFonts w:cs="Arial"/>
          <w:sz w:val="24"/>
          <w:lang w:val="fi-FI" w:eastAsia="fi-FI"/>
        </w:rPr>
        <w:t>tarp</w:t>
      </w:r>
      <w:r>
        <w:rPr>
          <w:rFonts w:cs="Arial"/>
          <w:sz w:val="24"/>
          <w:lang w:val="fi-FI" w:eastAsia="fi-FI"/>
        </w:rPr>
        <w:t>een tehdä herätettä lähetteen lähettäneessä</w:t>
      </w:r>
      <w:r w:rsidRPr="0052247C">
        <w:rPr>
          <w:rFonts w:cs="Arial"/>
          <w:sz w:val="24"/>
          <w:lang w:val="fi-FI" w:eastAsia="fi-FI"/>
        </w:rPr>
        <w:t xml:space="preserve"> järjestelmässä. Joskus sanomassa on </w:t>
      </w:r>
      <w:r>
        <w:rPr>
          <w:rFonts w:cs="Arial"/>
          <w:sz w:val="24"/>
          <w:lang w:val="fi-FI" w:eastAsia="fi-FI"/>
        </w:rPr>
        <w:t xml:space="preserve">lähetteen vastaanottajan kirjaamia </w:t>
      </w:r>
      <w:r w:rsidRPr="0052247C">
        <w:rPr>
          <w:rFonts w:cs="Arial"/>
          <w:sz w:val="24"/>
          <w:lang w:val="fi-FI" w:eastAsia="fi-FI"/>
        </w:rPr>
        <w:t>ohjeita lähettäjälle ja näissä tapauksessa lähettävässä järjestelmäs</w:t>
      </w:r>
      <w:r>
        <w:rPr>
          <w:rFonts w:cs="Arial"/>
          <w:sz w:val="24"/>
          <w:lang w:val="fi-FI" w:eastAsia="fi-FI"/>
        </w:rPr>
        <w:t xml:space="preserve">sä pitäisi syntyä heräte, joka </w:t>
      </w:r>
      <w:r w:rsidRPr="0052247C">
        <w:rPr>
          <w:rFonts w:cs="Arial"/>
          <w:sz w:val="24"/>
          <w:lang w:val="fi-FI" w:eastAsia="fi-FI"/>
        </w:rPr>
        <w:t>ohjaa näiden ohjeiden tarkistamiseen.</w:t>
      </w:r>
    </w:p>
    <w:p w:rsid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 xml:space="preserve">Maaliskuussa 2025 työryhmä (HUS, Apotti, </w:t>
      </w:r>
      <w:proofErr w:type="spellStart"/>
      <w:r w:rsidRPr="0052247C">
        <w:rPr>
          <w:rFonts w:cs="Arial"/>
          <w:sz w:val="24"/>
          <w:lang w:val="fi-FI" w:eastAsia="fi-FI"/>
        </w:rPr>
        <w:t>Tietoevry</w:t>
      </w:r>
      <w:proofErr w:type="spellEnd"/>
      <w:r w:rsidRPr="0052247C">
        <w:rPr>
          <w:rFonts w:cs="Arial"/>
          <w:sz w:val="24"/>
          <w:lang w:val="fi-FI" w:eastAsia="fi-FI"/>
        </w:rPr>
        <w:t>, NHG, Tietotarha) päätyi si</w:t>
      </w:r>
      <w:r>
        <w:rPr>
          <w:rFonts w:cs="Arial"/>
          <w:sz w:val="24"/>
          <w:lang w:val="fi-FI" w:eastAsia="fi-FI"/>
        </w:rPr>
        <w:t>ihen, että jos HOP-sanomassa on lähetteen hyväksyjän</w:t>
      </w:r>
      <w:r w:rsidRPr="0052247C">
        <w:rPr>
          <w:rFonts w:cs="Arial"/>
          <w:sz w:val="24"/>
          <w:lang w:val="fi-FI" w:eastAsia="fi-FI"/>
        </w:rPr>
        <w:t xml:space="preserve"> kirjaamia ohjeita, niin käytetään HOP-sanomassa alityyppiä HOI. Täm</w:t>
      </w:r>
      <w:r w:rsidR="0084449F">
        <w:rPr>
          <w:rFonts w:cs="Arial"/>
          <w:sz w:val="24"/>
          <w:lang w:val="fi-FI" w:eastAsia="fi-FI"/>
        </w:rPr>
        <w:t xml:space="preserve">ä vaatii muutoksen lähettävään </w:t>
      </w:r>
      <w:r w:rsidRPr="0052247C">
        <w:rPr>
          <w:rFonts w:cs="Arial"/>
          <w:sz w:val="24"/>
          <w:lang w:val="fi-FI" w:eastAsia="fi-FI"/>
        </w:rPr>
        <w:t>järjestelmään. Etuna on se, että alkuperäisen lähettäjän järj</w:t>
      </w:r>
      <w:r w:rsidR="0084449F">
        <w:rPr>
          <w:rFonts w:cs="Arial"/>
          <w:sz w:val="24"/>
          <w:lang w:val="fi-FI" w:eastAsia="fi-FI"/>
        </w:rPr>
        <w:t>estelmä voi generoida herätteen tarvittavissa tapauksissa.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Seuraavassa taulukossa</w:t>
      </w:r>
      <w:r w:rsidR="00EE6891">
        <w:rPr>
          <w:rFonts w:cs="Arial"/>
          <w:sz w:val="24"/>
          <w:lang w:val="fi-FI" w:eastAsia="fi-FI"/>
        </w:rPr>
        <w:t>: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pth</w:t>
      </w:r>
      <w:proofErr w:type="spellEnd"/>
      <w:r>
        <w:rPr>
          <w:rFonts w:cs="Arial"/>
          <w:sz w:val="24"/>
          <w:lang w:val="fi-FI" w:eastAsia="fi-FI"/>
        </w:rPr>
        <w:t xml:space="preserve"> = lähetteen lähettäjä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esh</w:t>
      </w:r>
      <w:proofErr w:type="spellEnd"/>
      <w:r>
        <w:rPr>
          <w:rFonts w:cs="Arial"/>
          <w:sz w:val="24"/>
          <w:lang w:val="fi-FI" w:eastAsia="fi-FI"/>
        </w:rPr>
        <w:t xml:space="preserve"> = lähetteen vastaanottaja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MT = sanomatyyppi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MST = sanoman alityyppi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1056"/>
        <w:gridCol w:w="2346"/>
        <w:gridCol w:w="2835"/>
      </w:tblGrid>
      <w:tr w:rsidR="0084449F" w:rsidRPr="005B1F2F" w:rsidTr="00FF134E">
        <w:trPr>
          <w:trHeight w:val="444"/>
        </w:trPr>
        <w:tc>
          <w:tcPr>
            <w:tcW w:w="426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:rsidR="0084449F" w:rsidRDefault="00EE6891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="0084449F"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:rsidR="00EE6891" w:rsidRPr="005B1F2F" w:rsidRDefault="00EE6891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t>1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lähete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Myös konsultaatiopyyntö, jossa potilas otetaan hoitoon.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t>2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Jos lähettäjä pyytää kuittausta (ACK_NEEDED=Y).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t>3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r w:rsidRPr="005B1F2F">
              <w:t>REFDIS, MT=KAS, MST=</w:t>
            </w:r>
            <w:proofErr w:type="gramStart"/>
            <w:r w:rsidRPr="005B1F2F"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Jos lähettäjä pyytää kuittausta (SNDR_ARR_CONF=Y).</w:t>
            </w:r>
          </w:p>
        </w:tc>
      </w:tr>
      <w:tr w:rsidR="00EE6891" w:rsidRPr="00EE6891" w:rsidTr="00FF134E">
        <w:tc>
          <w:tcPr>
            <w:tcW w:w="426" w:type="dxa"/>
          </w:tcPr>
          <w:p w:rsidR="00EE6891" w:rsidRPr="005B1F2F" w:rsidRDefault="00EE6891" w:rsidP="00FF134E">
            <w:r>
              <w:t>4</w:t>
            </w:r>
          </w:p>
        </w:tc>
        <w:tc>
          <w:tcPr>
            <w:tcW w:w="2835" w:type="dxa"/>
          </w:tcPr>
          <w:p w:rsidR="00EE6891" w:rsidRPr="005B1F2F" w:rsidRDefault="00EE6891" w:rsidP="00FF134E">
            <w:r>
              <w:t>lähetteen siirtosanoma</w:t>
            </w:r>
          </w:p>
        </w:tc>
        <w:tc>
          <w:tcPr>
            <w:tcW w:w="1056" w:type="dxa"/>
          </w:tcPr>
          <w:p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EE6891" w:rsidRPr="00EE6891" w:rsidRDefault="00EE6891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:rsidR="00EE6891" w:rsidRPr="00EE6891" w:rsidRDefault="00EE6891" w:rsidP="00FF134E">
            <w:r w:rsidRPr="00EE6891">
              <w:t>Jos lähete on siirretty vastaanottopäässä</w:t>
            </w:r>
          </w:p>
        </w:tc>
      </w:tr>
      <w:tr w:rsidR="0084449F" w:rsidRPr="005B1F2F" w:rsidTr="00FF134E">
        <w:tc>
          <w:tcPr>
            <w:tcW w:w="426" w:type="dxa"/>
          </w:tcPr>
          <w:p w:rsidR="0084449F" w:rsidRPr="005B1F2F" w:rsidRDefault="00EE6891" w:rsidP="00FF134E">
            <w:r>
              <w:t>5</w:t>
            </w:r>
            <w:r w:rsidR="0084449F" w:rsidRPr="005B1F2F">
              <w:t>a</w:t>
            </w:r>
          </w:p>
        </w:tc>
        <w:tc>
          <w:tcPr>
            <w:tcW w:w="2835" w:type="dxa"/>
          </w:tcPr>
          <w:p w:rsidR="00EE6891" w:rsidRPr="005B1F2F" w:rsidRDefault="0084449F" w:rsidP="00FF134E">
            <w:r w:rsidRPr="005B1F2F">
              <w:t>hoitopäätösilmoitussanoma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:rsidR="0084449F" w:rsidRPr="005B1F2F" w:rsidRDefault="00EE6891" w:rsidP="00FF134E">
            <w:r>
              <w:t>Sanoma ei sisällä vastaanottajan antamia ohjeita</w:t>
            </w:r>
            <w:r w:rsidR="00D86BCE">
              <w:t xml:space="preserve"> (voi sisältää </w:t>
            </w:r>
            <w:proofErr w:type="spellStart"/>
            <w:r w:rsidR="00D86BCE">
              <w:t>vakioteksin</w:t>
            </w:r>
            <w:proofErr w:type="spellEnd"/>
            <w:r w:rsidR="00D86BCE">
              <w:t>)</w:t>
            </w:r>
          </w:p>
        </w:tc>
      </w:tr>
      <w:tr w:rsidR="00EE6891" w:rsidRPr="00EE6891" w:rsidTr="00FF134E">
        <w:tc>
          <w:tcPr>
            <w:tcW w:w="426" w:type="dxa"/>
          </w:tcPr>
          <w:p w:rsidR="00EE6891" w:rsidRPr="005B1F2F" w:rsidRDefault="00EE6891" w:rsidP="00FF134E">
            <w:r>
              <w:t>5b</w:t>
            </w:r>
          </w:p>
        </w:tc>
        <w:tc>
          <w:tcPr>
            <w:tcW w:w="2835" w:type="dxa"/>
          </w:tcPr>
          <w:p w:rsidR="00EE6891" w:rsidRPr="005B1F2F" w:rsidRDefault="00EE6891" w:rsidP="00FF134E">
            <w:r w:rsidRPr="005B1F2F">
              <w:t>hoitopäätösilmoitussanoma</w:t>
            </w:r>
          </w:p>
        </w:tc>
        <w:tc>
          <w:tcPr>
            <w:tcW w:w="1056" w:type="dxa"/>
          </w:tcPr>
          <w:p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EE6891" w:rsidRPr="00EE6891" w:rsidRDefault="00EE6891" w:rsidP="00FF134E">
            <w:pPr>
              <w:rPr>
                <w:highlight w:val="yellow"/>
                <w:lang w:val="en-GB"/>
              </w:rPr>
            </w:pPr>
            <w:r w:rsidRPr="00EE6891">
              <w:rPr>
                <w:highlight w:val="yellow"/>
                <w:lang w:val="en-GB"/>
              </w:rPr>
              <w:t>REFDIS, MT=HOP,MST="HOI”</w:t>
            </w:r>
          </w:p>
        </w:tc>
        <w:tc>
          <w:tcPr>
            <w:tcW w:w="2835" w:type="dxa"/>
          </w:tcPr>
          <w:p w:rsidR="00EE6891" w:rsidRPr="00EE6891" w:rsidRDefault="00EE6891" w:rsidP="00FF134E">
            <w:pPr>
              <w:rPr>
                <w:highlight w:val="yellow"/>
              </w:rPr>
            </w:pPr>
            <w:r w:rsidRPr="00EE6891">
              <w:rPr>
                <w:highlight w:val="yellow"/>
              </w:rPr>
              <w:t>Sanoma sisältää vastaanottajan antamia ohjeita</w:t>
            </w:r>
          </w:p>
        </w:tc>
      </w:tr>
      <w:tr w:rsidR="0084449F" w:rsidRPr="00844C31" w:rsidTr="00FF134E">
        <w:tc>
          <w:tcPr>
            <w:tcW w:w="426" w:type="dxa"/>
          </w:tcPr>
          <w:p w:rsidR="0084449F" w:rsidRPr="005B1F2F" w:rsidRDefault="00EE6891" w:rsidP="00FF134E">
            <w:r>
              <w:t>5c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palautussanoma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:rsidR="0084449F" w:rsidRPr="005B1F2F" w:rsidRDefault="0084449F" w:rsidP="00FF134E">
            <w:pPr>
              <w:rPr>
                <w:lang w:val="sv-SE"/>
              </w:rPr>
            </w:pPr>
          </w:p>
        </w:tc>
      </w:tr>
      <w:tr w:rsidR="0084449F" w:rsidRPr="005B1F2F" w:rsidTr="00FF134E">
        <w:tc>
          <w:tcPr>
            <w:tcW w:w="426" w:type="dxa"/>
          </w:tcPr>
          <w:p w:rsidR="0084449F" w:rsidRPr="005B1F2F" w:rsidRDefault="00EE6891" w:rsidP="00FF134E">
            <w:r>
              <w:t>5d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MT=EPI, MST=KON</w:t>
            </w:r>
          </w:p>
        </w:tc>
        <w:tc>
          <w:tcPr>
            <w:tcW w:w="2835" w:type="dxa"/>
          </w:tcPr>
          <w:p w:rsidR="0084449F" w:rsidRPr="005B1F2F" w:rsidRDefault="0084449F" w:rsidP="00FF134E"/>
        </w:tc>
      </w:tr>
    </w:tbl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</w:p>
    <w:p w:rsidR="002F7600" w:rsidRDefault="002F7600" w:rsidP="0052247C">
      <w:pPr>
        <w:pStyle w:val="Leipteksti"/>
        <w:rPr>
          <w:rFonts w:cs="Arial"/>
          <w:sz w:val="24"/>
          <w:lang w:val="fi-FI" w:eastAsia="fi-FI"/>
        </w:rPr>
      </w:pPr>
    </w:p>
    <w:p w:rsidR="002F7600" w:rsidRDefault="00AA7E2C" w:rsidP="002F7600">
      <w:pPr>
        <w:pStyle w:val="Otsikko1"/>
        <w:rPr>
          <w:lang w:eastAsia="fi-FI"/>
        </w:rPr>
      </w:pPr>
      <w:bookmarkStart w:id="4" w:name="_Toc193360683"/>
      <w:r>
        <w:rPr>
          <w:lang w:eastAsia="fi-FI"/>
        </w:rPr>
        <w:t>VHO</w:t>
      </w:r>
      <w:r w:rsidR="002F7600">
        <w:rPr>
          <w:lang w:eastAsia="fi-FI"/>
        </w:rPr>
        <w:t>-</w:t>
      </w:r>
      <w:proofErr w:type="spellStart"/>
      <w:r w:rsidR="002F7600">
        <w:rPr>
          <w:lang w:eastAsia="fi-FI"/>
        </w:rPr>
        <w:t>sanoman</w:t>
      </w:r>
      <w:proofErr w:type="spellEnd"/>
      <w:r w:rsidR="002F7600">
        <w:rPr>
          <w:lang w:eastAsia="fi-FI"/>
        </w:rPr>
        <w:t xml:space="preserve"> </w:t>
      </w:r>
      <w:proofErr w:type="spellStart"/>
      <w:r w:rsidR="002F7600">
        <w:rPr>
          <w:lang w:eastAsia="fi-FI"/>
        </w:rPr>
        <w:t>käyttö</w:t>
      </w:r>
      <w:bookmarkEnd w:id="4"/>
      <w:proofErr w:type="spellEnd"/>
    </w:p>
    <w:p w:rsidR="00D322F3" w:rsidRPr="00D322F3" w:rsidRDefault="00AA7E2C" w:rsidP="00D322F3">
      <w:pPr>
        <w:pStyle w:val="Leipteksti"/>
        <w:rPr>
          <w:sz w:val="24"/>
          <w:lang w:val="fi-FI" w:eastAsia="fi-FI"/>
        </w:rPr>
      </w:pPr>
      <w:r w:rsidRPr="00AA7E2C"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 xml:space="preserve">-sanoma on </w:t>
      </w:r>
      <w:proofErr w:type="spellStart"/>
      <w:r w:rsidR="00D322F3" w:rsidRPr="00D322F3">
        <w:rPr>
          <w:sz w:val="24"/>
          <w:lang w:val="fi-FI" w:eastAsia="fi-FI"/>
        </w:rPr>
        <w:t>samansisältöinen</w:t>
      </w:r>
      <w:proofErr w:type="spellEnd"/>
      <w:r w:rsidR="00D322F3" w:rsidRPr="00D322F3">
        <w:rPr>
          <w:sz w:val="24"/>
          <w:lang w:val="fi-FI" w:eastAsia="fi-FI"/>
        </w:rPr>
        <w:t xml:space="preserve"> kuin HOP-sanoma, ain</w:t>
      </w:r>
      <w:r>
        <w:rPr>
          <w:sz w:val="24"/>
          <w:lang w:val="fi-FI" w:eastAsia="fi-FI"/>
        </w:rPr>
        <w:t>oastaan sanoman tyyppi on VHO</w:t>
      </w:r>
      <w:r w:rsidR="00D322F3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>-sanomassa on aina lisätietoja, jotka lähetteen lähet</w:t>
      </w:r>
      <w:r w:rsidR="00D322F3">
        <w:rPr>
          <w:sz w:val="24"/>
          <w:lang w:val="fi-FI" w:eastAsia="fi-FI"/>
        </w:rPr>
        <w:t xml:space="preserve">täjän on huomioitava. Sanomassa </w:t>
      </w:r>
      <w:r w:rsidR="00D322F3" w:rsidRPr="00D322F3">
        <w:rPr>
          <w:sz w:val="24"/>
          <w:lang w:val="fi-FI" w:eastAsia="fi-FI"/>
        </w:rPr>
        <w:t>lisä</w:t>
      </w:r>
      <w:r w:rsidR="00D322F3">
        <w:rPr>
          <w:sz w:val="24"/>
          <w:lang w:val="fi-FI" w:eastAsia="fi-FI"/>
        </w:rPr>
        <w:t>tiedot ilmoitetaan kappaleessa 3</w:t>
      </w:r>
      <w:r w:rsidR="00D322F3" w:rsidRPr="00D322F3">
        <w:rPr>
          <w:sz w:val="24"/>
          <w:lang w:val="fi-FI" w:eastAsia="fi-FI"/>
        </w:rPr>
        <w:t xml:space="preserve"> mainitulla tavalla.</w:t>
      </w:r>
    </w:p>
    <w:p w:rsidR="002F7600" w:rsidRPr="00D322F3" w:rsidRDefault="002F7600" w:rsidP="002F7600">
      <w:pPr>
        <w:pStyle w:val="Leipteksti"/>
        <w:rPr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505"/>
        <w:gridCol w:w="2812"/>
        <w:gridCol w:w="1044"/>
        <w:gridCol w:w="2328"/>
        <w:gridCol w:w="2809"/>
      </w:tblGrid>
      <w:tr w:rsidR="002F7600" w:rsidRPr="005B1F2F" w:rsidTr="00FF134E">
        <w:trPr>
          <w:trHeight w:val="444"/>
        </w:trPr>
        <w:tc>
          <w:tcPr>
            <w:tcW w:w="426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:rsidR="002F7600" w:rsidRDefault="002F7600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:rsidR="002F7600" w:rsidRPr="005B1F2F" w:rsidRDefault="002F7600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1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lähete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Myös konsultaatiopyyntö, jossa potilas otetaan hoitoon.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2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Jos lähettäjä pyytää kuittausta (ACK_NEEDED=Y).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3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r w:rsidRPr="005B1F2F">
              <w:t>REFDIS, MT=KAS, MST=</w:t>
            </w:r>
            <w:proofErr w:type="gramStart"/>
            <w:r w:rsidRPr="005B1F2F"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Jos lähettäjä pyytää kuittausta (SNDR_ARR_CONF=Y).</w:t>
            </w:r>
          </w:p>
        </w:tc>
      </w:tr>
      <w:tr w:rsidR="002F7600" w:rsidRPr="00EE6891" w:rsidTr="00FF134E">
        <w:tc>
          <w:tcPr>
            <w:tcW w:w="426" w:type="dxa"/>
          </w:tcPr>
          <w:p w:rsidR="002F7600" w:rsidRPr="005B1F2F" w:rsidRDefault="002F7600" w:rsidP="00FF134E">
            <w:r>
              <w:t>4</w:t>
            </w:r>
          </w:p>
        </w:tc>
        <w:tc>
          <w:tcPr>
            <w:tcW w:w="2835" w:type="dxa"/>
          </w:tcPr>
          <w:p w:rsidR="002F7600" w:rsidRPr="005B1F2F" w:rsidRDefault="002F7600" w:rsidP="00FF134E">
            <w:r>
              <w:t>lähetteen siirtosanoma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EE6891" w:rsidRDefault="002F7600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:rsidR="002F7600" w:rsidRPr="00EE6891" w:rsidRDefault="002F7600" w:rsidP="00FF134E">
            <w:r w:rsidRPr="00EE6891">
              <w:t>Jos lähete on siirretty vastaanottopäässä</w:t>
            </w:r>
          </w:p>
        </w:tc>
      </w:tr>
      <w:tr w:rsidR="002F7600" w:rsidRPr="005B1F2F" w:rsidTr="00FF134E">
        <w:tc>
          <w:tcPr>
            <w:tcW w:w="426" w:type="dxa"/>
          </w:tcPr>
          <w:p w:rsidR="002F7600" w:rsidRPr="005B1F2F" w:rsidRDefault="002F7600" w:rsidP="00FF134E">
            <w:r>
              <w:t>5</w:t>
            </w:r>
            <w:r w:rsidRPr="005B1F2F">
              <w:t>a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hoitopäätösilmoitussanoma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:rsidR="002F7600" w:rsidRPr="005B1F2F" w:rsidRDefault="002F7600" w:rsidP="00FF134E">
            <w:r>
              <w:t>Sanoma ei sisällä vastaanottajan antamia ohjeita</w:t>
            </w:r>
          </w:p>
        </w:tc>
      </w:tr>
      <w:tr w:rsidR="002F7600" w:rsidRPr="00EE6891" w:rsidTr="00FF134E">
        <w:tc>
          <w:tcPr>
            <w:tcW w:w="426" w:type="dxa"/>
          </w:tcPr>
          <w:p w:rsidR="002F7600" w:rsidRPr="005B1F2F" w:rsidRDefault="002F7600" w:rsidP="00FF134E">
            <w:r>
              <w:t>5a1</w:t>
            </w:r>
          </w:p>
        </w:tc>
        <w:tc>
          <w:tcPr>
            <w:tcW w:w="2835" w:type="dxa"/>
          </w:tcPr>
          <w:p w:rsidR="002F7600" w:rsidRPr="005B1F2F" w:rsidRDefault="002F7600" w:rsidP="00FF134E">
            <w:r>
              <w:t>välihoitopalaute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2F7600" w:rsidRDefault="00AA7E2C" w:rsidP="00FF134E">
            <w:pPr>
              <w:rPr>
                <w:lang w:val="en-GB"/>
              </w:rPr>
            </w:pPr>
            <w:r>
              <w:rPr>
                <w:lang w:val="en-GB"/>
              </w:rPr>
              <w:t>REFDIS, MT=VHO</w:t>
            </w:r>
            <w:r w:rsidR="002F7600" w:rsidRPr="002F7600">
              <w:rPr>
                <w:lang w:val="en-GB"/>
              </w:rPr>
              <w:t>,MST="”</w:t>
            </w:r>
          </w:p>
        </w:tc>
        <w:tc>
          <w:tcPr>
            <w:tcW w:w="2835" w:type="dxa"/>
          </w:tcPr>
          <w:p w:rsidR="002F7600" w:rsidRPr="002F7600" w:rsidRDefault="002F7600" w:rsidP="00FF134E">
            <w:r w:rsidRPr="002F7600">
              <w:t>Sanoma sisältää vastaanottajan antamia ohjeita</w:t>
            </w:r>
          </w:p>
        </w:tc>
      </w:tr>
      <w:tr w:rsidR="002F7600" w:rsidRPr="00844C31" w:rsidTr="00FF134E">
        <w:tc>
          <w:tcPr>
            <w:tcW w:w="426" w:type="dxa"/>
          </w:tcPr>
          <w:p w:rsidR="002F7600" w:rsidRPr="005B1F2F" w:rsidRDefault="002F7600" w:rsidP="00FF134E">
            <w:r>
              <w:t>5c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palautussanoma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:rsidR="002F7600" w:rsidRPr="005B1F2F" w:rsidRDefault="002F7600" w:rsidP="00FF134E">
            <w:pPr>
              <w:rPr>
                <w:lang w:val="sv-SE"/>
              </w:rPr>
            </w:pPr>
          </w:p>
        </w:tc>
      </w:tr>
      <w:tr w:rsidR="002F7600" w:rsidRPr="005B1F2F" w:rsidTr="00FF134E">
        <w:tc>
          <w:tcPr>
            <w:tcW w:w="426" w:type="dxa"/>
          </w:tcPr>
          <w:p w:rsidR="002F7600" w:rsidRPr="005B1F2F" w:rsidRDefault="002F7600" w:rsidP="00FF134E">
            <w:r>
              <w:t>5d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MT=EPI, MST=KON</w:t>
            </w:r>
          </w:p>
        </w:tc>
        <w:tc>
          <w:tcPr>
            <w:tcW w:w="2835" w:type="dxa"/>
          </w:tcPr>
          <w:p w:rsidR="002F7600" w:rsidRPr="005B1F2F" w:rsidRDefault="002F7600" w:rsidP="00FF134E"/>
        </w:tc>
      </w:tr>
    </w:tbl>
    <w:p w:rsidR="002F7600" w:rsidRDefault="002F7600" w:rsidP="002F7600">
      <w:pPr>
        <w:pStyle w:val="Leipteksti"/>
        <w:rPr>
          <w:lang w:val="fi-FI" w:eastAsia="fi-FI"/>
        </w:rPr>
      </w:pPr>
    </w:p>
    <w:p w:rsidR="002F7600" w:rsidRDefault="002F7600" w:rsidP="002F7600">
      <w:pPr>
        <w:pStyle w:val="Otsikko1"/>
        <w:rPr>
          <w:lang w:eastAsia="fi-FI"/>
        </w:rPr>
      </w:pPr>
      <w:bookmarkStart w:id="5" w:name="_Toc193360684"/>
      <w:proofErr w:type="spellStart"/>
      <w:r>
        <w:rPr>
          <w:lang w:eastAsia="fi-FI"/>
        </w:rPr>
        <w:t>Muuta</w:t>
      </w:r>
      <w:bookmarkEnd w:id="5"/>
      <w:proofErr w:type="spellEnd"/>
      <w:r w:rsidR="00AA7E2C">
        <w:rPr>
          <w:lang w:eastAsia="fi-FI"/>
        </w:rPr>
        <w:t xml:space="preserve"> </w:t>
      </w:r>
      <w:proofErr w:type="spellStart"/>
      <w:r w:rsidR="00AA7E2C">
        <w:rPr>
          <w:lang w:eastAsia="fi-FI"/>
        </w:rPr>
        <w:t>huomioitavaa</w:t>
      </w:r>
      <w:proofErr w:type="spellEnd"/>
    </w:p>
    <w:p w:rsidR="002F7600" w:rsidRDefault="00D322F3" w:rsidP="002F7600">
      <w:pPr>
        <w:pStyle w:val="Leipteksti"/>
        <w:rPr>
          <w:sz w:val="24"/>
          <w:lang w:val="fi-FI" w:eastAsia="fi-FI"/>
        </w:rPr>
      </w:pPr>
      <w:r w:rsidRPr="00D322F3">
        <w:rPr>
          <w:sz w:val="24"/>
          <w:lang w:val="fi-FI" w:eastAsia="fi-FI"/>
        </w:rPr>
        <w:t>V</w:t>
      </w:r>
      <w:r>
        <w:rPr>
          <w:sz w:val="24"/>
          <w:lang w:val="fi-FI" w:eastAsia="fi-FI"/>
        </w:rPr>
        <w:t xml:space="preserve">oidaan joutua tilanteeseen, jossa </w:t>
      </w:r>
      <w:r w:rsidR="002F7600" w:rsidRPr="00D322F3">
        <w:rPr>
          <w:sz w:val="24"/>
          <w:lang w:val="fi-FI" w:eastAsia="fi-FI"/>
        </w:rPr>
        <w:t>lähetteen vastaanottanut järjestelmä</w:t>
      </w:r>
      <w:r w:rsidR="00AA7E2C">
        <w:rPr>
          <w:sz w:val="24"/>
          <w:lang w:val="fi-FI" w:eastAsia="fi-FI"/>
        </w:rPr>
        <w:t xml:space="preserve"> ei tue VHO</w:t>
      </w:r>
      <w:r w:rsidRPr="00D322F3">
        <w:rPr>
          <w:sz w:val="24"/>
          <w:lang w:val="fi-FI" w:eastAsia="fi-FI"/>
        </w:rPr>
        <w:t>-sanoman lähettämistä ja lähetteen lähettäjä sitä vaatii</w:t>
      </w:r>
      <w:r>
        <w:rPr>
          <w:sz w:val="24"/>
          <w:lang w:val="fi-FI" w:eastAsia="fi-FI"/>
        </w:rPr>
        <w:t xml:space="preserve">. Tällöin lähetteen vastaanottavaan järjestelmään kannattaa tehdä tuo HOP-HOI-muutos ja integraatioalusta monistaa </w:t>
      </w:r>
      <w:r w:rsidR="00AA7E2C">
        <w:rPr>
          <w:sz w:val="24"/>
          <w:lang w:val="fi-FI" w:eastAsia="fi-FI"/>
        </w:rPr>
        <w:t>HOP-sanoman VHO</w:t>
      </w:r>
      <w:r>
        <w:rPr>
          <w:sz w:val="24"/>
          <w:lang w:val="fi-FI" w:eastAsia="fi-FI"/>
        </w:rPr>
        <w:t>-sanomaksi ja lähettää sen pienellä viiveellä HOP-sanoman jälkeen.</w:t>
      </w:r>
    </w:p>
    <w:p w:rsidR="00AA7E2C" w:rsidRDefault="00AA7E2C" w:rsidP="002F760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Ennen HOP-HOI-sanoman käyttöönottoa pitää varmistaa vastaanottajilta, että HOI-alityypin käyttöönotto ei aiheuta ongelmia.</w:t>
      </w:r>
    </w:p>
    <w:p w:rsidR="001E7E74" w:rsidRDefault="001E7E74" w:rsidP="002F760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Hoitopäätösilmoituksen yhteydessä annetut lisätiedot eivät muodosta keskusteluprosessia lähettäjän ja vastaanottajan välillä, kyse on yhdensuuntaisesta tiedonsiirrosta.</w:t>
      </w:r>
    </w:p>
    <w:p w:rsidR="00A10E82" w:rsidRDefault="00A10E82" w:rsidP="00CD41C5">
      <w:pPr>
        <w:pStyle w:val="Otsikko1"/>
        <w:rPr>
          <w:lang w:eastAsia="fi-FI"/>
        </w:rPr>
      </w:pPr>
      <w:proofErr w:type="spellStart"/>
      <w:r>
        <w:rPr>
          <w:lang w:eastAsia="fi-FI"/>
        </w:rPr>
        <w:lastRenderedPageBreak/>
        <w:t>Tavoitetila</w:t>
      </w:r>
      <w:proofErr w:type="spellEnd"/>
    </w:p>
    <w:p w:rsidR="00A10E82" w:rsidRDefault="00A10E82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 xml:space="preserve">Tavoitetilassa hoitopäätösilmoituksen yhteydessä annettavat lisätiedot aiheuttavat herätteen kaikilla lähettäjillä. </w:t>
      </w:r>
      <w:r>
        <w:rPr>
          <w:sz w:val="24"/>
          <w:lang w:val="fi-FI" w:eastAsia="fi-FI"/>
        </w:rPr>
        <w:t>Tavoitteeseen tulee pyrkiä kustannukset minimoiden</w:t>
      </w:r>
      <w:r w:rsidR="00FB768C">
        <w:rPr>
          <w:sz w:val="24"/>
          <w:lang w:val="fi-FI" w:eastAsia="fi-FI"/>
        </w:rPr>
        <w:t>,</w:t>
      </w:r>
      <w:r>
        <w:rPr>
          <w:sz w:val="24"/>
          <w:lang w:val="fi-FI" w:eastAsia="fi-FI"/>
        </w:rPr>
        <w:t xml:space="preserve"> sopivassa kehitysvaiheessa. </w:t>
      </w:r>
    </w:p>
    <w:p w:rsidR="00A10E82" w:rsidRPr="00CD41C5" w:rsidRDefault="00425698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Tässä määrityksessä on esitetty 2 vaihtoehtoista teknistä toteutustapaa tavoitteeseen pääsemiseksi. Toiveena on, että </w:t>
      </w:r>
      <w:r w:rsidR="00844C31">
        <w:rPr>
          <w:sz w:val="24"/>
          <w:lang w:val="fi-FI" w:eastAsia="fi-FI"/>
        </w:rPr>
        <w:t xml:space="preserve">esim. </w:t>
      </w:r>
      <w:r>
        <w:rPr>
          <w:sz w:val="24"/>
          <w:lang w:val="fi-FI" w:eastAsia="fi-FI"/>
        </w:rPr>
        <w:t>viranomaisohjauksen k</w:t>
      </w:r>
      <w:r w:rsidR="00844C31">
        <w:rPr>
          <w:sz w:val="24"/>
          <w:lang w:val="fi-FI" w:eastAsia="fi-FI"/>
        </w:rPr>
        <w:t>autta päästäisiin yhteen toteu</w:t>
      </w:r>
      <w:r>
        <w:rPr>
          <w:sz w:val="24"/>
          <w:lang w:val="fi-FI" w:eastAsia="fi-FI"/>
        </w:rPr>
        <w:t>tustapaan.</w:t>
      </w:r>
      <w:bookmarkStart w:id="6" w:name="_GoBack"/>
      <w:bookmarkEnd w:id="6"/>
    </w:p>
    <w:sectPr w:rsidR="00A10E82" w:rsidRPr="00CD41C5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3E" w:rsidRDefault="00C40B3E" w:rsidP="009D7B85">
      <w:pPr>
        <w:spacing w:after="0" w:line="240" w:lineRule="auto"/>
      </w:pPr>
      <w:r>
        <w:separator/>
      </w:r>
    </w:p>
  </w:endnote>
  <w:endnote w:type="continuationSeparator" w:id="0">
    <w:p w:rsidR="00C40B3E" w:rsidRDefault="00C40B3E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7"/>
      <w:gridCol w:w="4499"/>
    </w:tblGrid>
    <w:tr w:rsidR="00954D9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44C31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D82ECB">
            <w:rPr>
              <w:caps/>
              <w:color w:val="808080" w:themeColor="background1" w:themeShade="80"/>
              <w:sz w:val="18"/>
              <w:szCs w:val="18"/>
            </w:rPr>
            <w:t>7</w:t>
          </w:r>
        </w:p>
      </w:tc>
    </w:tr>
  </w:tbl>
  <w:p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3E" w:rsidRDefault="00C40B3E" w:rsidP="009D7B85">
      <w:pPr>
        <w:spacing w:after="0" w:line="240" w:lineRule="auto"/>
      </w:pPr>
      <w:r>
        <w:separator/>
      </w:r>
    </w:p>
  </w:footnote>
  <w:footnote w:type="continuationSeparator" w:id="0">
    <w:p w:rsidR="00C40B3E" w:rsidRDefault="00C40B3E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>
      <w:trPr>
        <w:trHeight w:val="720"/>
      </w:trPr>
      <w:tc>
        <w:tcPr>
          <w:tcW w:w="1667" w:type="pct"/>
        </w:tcPr>
        <w:p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45E"/>
    <w:multiLevelType w:val="multilevel"/>
    <w:tmpl w:val="FAA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00060"/>
    <w:rsid w:val="0000660D"/>
    <w:rsid w:val="00022275"/>
    <w:rsid w:val="000329AB"/>
    <w:rsid w:val="00050EA2"/>
    <w:rsid w:val="00061EA5"/>
    <w:rsid w:val="000808D2"/>
    <w:rsid w:val="00086D27"/>
    <w:rsid w:val="000A0CBA"/>
    <w:rsid w:val="000C01B5"/>
    <w:rsid w:val="000D43BC"/>
    <w:rsid w:val="000D5B00"/>
    <w:rsid w:val="000E1609"/>
    <w:rsid w:val="000F70E7"/>
    <w:rsid w:val="00115EE1"/>
    <w:rsid w:val="00136F27"/>
    <w:rsid w:val="001371C1"/>
    <w:rsid w:val="00144CC5"/>
    <w:rsid w:val="00150440"/>
    <w:rsid w:val="00152532"/>
    <w:rsid w:val="001556E6"/>
    <w:rsid w:val="0015782C"/>
    <w:rsid w:val="001649D0"/>
    <w:rsid w:val="001660D5"/>
    <w:rsid w:val="00166807"/>
    <w:rsid w:val="00176A80"/>
    <w:rsid w:val="00191DA9"/>
    <w:rsid w:val="00195C51"/>
    <w:rsid w:val="001B7F5F"/>
    <w:rsid w:val="001C3C06"/>
    <w:rsid w:val="001D06D7"/>
    <w:rsid w:val="001D451C"/>
    <w:rsid w:val="001E7E74"/>
    <w:rsid w:val="00231D85"/>
    <w:rsid w:val="00236659"/>
    <w:rsid w:val="00257AE9"/>
    <w:rsid w:val="00261E79"/>
    <w:rsid w:val="002628DB"/>
    <w:rsid w:val="00264B8B"/>
    <w:rsid w:val="002A1A1C"/>
    <w:rsid w:val="002A6020"/>
    <w:rsid w:val="002B66A7"/>
    <w:rsid w:val="002C0B27"/>
    <w:rsid w:val="002C57C4"/>
    <w:rsid w:val="002D3382"/>
    <w:rsid w:val="002E17E3"/>
    <w:rsid w:val="002F7600"/>
    <w:rsid w:val="0031045E"/>
    <w:rsid w:val="00346D0F"/>
    <w:rsid w:val="003500B0"/>
    <w:rsid w:val="00364971"/>
    <w:rsid w:val="00370B92"/>
    <w:rsid w:val="003A17DD"/>
    <w:rsid w:val="003A2023"/>
    <w:rsid w:val="003B7C5F"/>
    <w:rsid w:val="003E0194"/>
    <w:rsid w:val="003E5C7F"/>
    <w:rsid w:val="003F67B8"/>
    <w:rsid w:val="00404ABD"/>
    <w:rsid w:val="00405F25"/>
    <w:rsid w:val="00417C16"/>
    <w:rsid w:val="00425698"/>
    <w:rsid w:val="00431DFD"/>
    <w:rsid w:val="00432BA0"/>
    <w:rsid w:val="00444D52"/>
    <w:rsid w:val="00461E09"/>
    <w:rsid w:val="00471480"/>
    <w:rsid w:val="00473E46"/>
    <w:rsid w:val="00475C13"/>
    <w:rsid w:val="004A2842"/>
    <w:rsid w:val="004B1C8F"/>
    <w:rsid w:val="004B3635"/>
    <w:rsid w:val="004D13B5"/>
    <w:rsid w:val="004D3E9C"/>
    <w:rsid w:val="004E3DCC"/>
    <w:rsid w:val="004E652C"/>
    <w:rsid w:val="005002F9"/>
    <w:rsid w:val="005050F8"/>
    <w:rsid w:val="0051214D"/>
    <w:rsid w:val="00514D8C"/>
    <w:rsid w:val="0052247C"/>
    <w:rsid w:val="00547175"/>
    <w:rsid w:val="00575400"/>
    <w:rsid w:val="005811A6"/>
    <w:rsid w:val="00581A41"/>
    <w:rsid w:val="005866B3"/>
    <w:rsid w:val="005A44D4"/>
    <w:rsid w:val="005C1F58"/>
    <w:rsid w:val="005D5C63"/>
    <w:rsid w:val="005E2756"/>
    <w:rsid w:val="005E5AD2"/>
    <w:rsid w:val="005F6555"/>
    <w:rsid w:val="006046D9"/>
    <w:rsid w:val="006049BC"/>
    <w:rsid w:val="0061462E"/>
    <w:rsid w:val="00620269"/>
    <w:rsid w:val="0066417B"/>
    <w:rsid w:val="0068316A"/>
    <w:rsid w:val="006833B5"/>
    <w:rsid w:val="006A525D"/>
    <w:rsid w:val="006B40E7"/>
    <w:rsid w:val="006D31E3"/>
    <w:rsid w:val="006D342C"/>
    <w:rsid w:val="006E1C86"/>
    <w:rsid w:val="006E7E27"/>
    <w:rsid w:val="006F38E7"/>
    <w:rsid w:val="006F4517"/>
    <w:rsid w:val="006F7FD0"/>
    <w:rsid w:val="007074D5"/>
    <w:rsid w:val="0071164C"/>
    <w:rsid w:val="0072334D"/>
    <w:rsid w:val="007325EB"/>
    <w:rsid w:val="00732D9B"/>
    <w:rsid w:val="007370DF"/>
    <w:rsid w:val="00757190"/>
    <w:rsid w:val="007575A1"/>
    <w:rsid w:val="00763131"/>
    <w:rsid w:val="00785348"/>
    <w:rsid w:val="007915FC"/>
    <w:rsid w:val="0079265D"/>
    <w:rsid w:val="007A1D5E"/>
    <w:rsid w:val="007A5283"/>
    <w:rsid w:val="007C26C0"/>
    <w:rsid w:val="007D05E3"/>
    <w:rsid w:val="007E3DBE"/>
    <w:rsid w:val="00801C98"/>
    <w:rsid w:val="00803475"/>
    <w:rsid w:val="008036F5"/>
    <w:rsid w:val="008079DD"/>
    <w:rsid w:val="0081362A"/>
    <w:rsid w:val="0082324F"/>
    <w:rsid w:val="00832CFD"/>
    <w:rsid w:val="0084449F"/>
    <w:rsid w:val="00844C31"/>
    <w:rsid w:val="0084670B"/>
    <w:rsid w:val="00854439"/>
    <w:rsid w:val="00883388"/>
    <w:rsid w:val="008842D9"/>
    <w:rsid w:val="008970BB"/>
    <w:rsid w:val="008B4D08"/>
    <w:rsid w:val="008C197A"/>
    <w:rsid w:val="008C5447"/>
    <w:rsid w:val="008D1778"/>
    <w:rsid w:val="008E7509"/>
    <w:rsid w:val="008F3C39"/>
    <w:rsid w:val="008F4C82"/>
    <w:rsid w:val="009101A9"/>
    <w:rsid w:val="00912498"/>
    <w:rsid w:val="00937D01"/>
    <w:rsid w:val="00947D0D"/>
    <w:rsid w:val="009514FB"/>
    <w:rsid w:val="00952FD4"/>
    <w:rsid w:val="00954D96"/>
    <w:rsid w:val="009578CC"/>
    <w:rsid w:val="009814AD"/>
    <w:rsid w:val="009A1E36"/>
    <w:rsid w:val="009D7B85"/>
    <w:rsid w:val="009E5942"/>
    <w:rsid w:val="009E61AE"/>
    <w:rsid w:val="009F3219"/>
    <w:rsid w:val="009F36C6"/>
    <w:rsid w:val="00A06FA4"/>
    <w:rsid w:val="00A10E82"/>
    <w:rsid w:val="00A234F5"/>
    <w:rsid w:val="00A5216C"/>
    <w:rsid w:val="00A5419C"/>
    <w:rsid w:val="00A555CC"/>
    <w:rsid w:val="00A73ACB"/>
    <w:rsid w:val="00A8021E"/>
    <w:rsid w:val="00A80C82"/>
    <w:rsid w:val="00AA7E2C"/>
    <w:rsid w:val="00AC295C"/>
    <w:rsid w:val="00AD5DB8"/>
    <w:rsid w:val="00AD6756"/>
    <w:rsid w:val="00AF186A"/>
    <w:rsid w:val="00B049FC"/>
    <w:rsid w:val="00B17854"/>
    <w:rsid w:val="00B22F39"/>
    <w:rsid w:val="00B269F9"/>
    <w:rsid w:val="00B320DA"/>
    <w:rsid w:val="00B343AB"/>
    <w:rsid w:val="00B615F2"/>
    <w:rsid w:val="00B8219F"/>
    <w:rsid w:val="00B8276D"/>
    <w:rsid w:val="00B82C1E"/>
    <w:rsid w:val="00B83EDD"/>
    <w:rsid w:val="00BC4FEA"/>
    <w:rsid w:val="00BD1324"/>
    <w:rsid w:val="00BE7335"/>
    <w:rsid w:val="00C00E18"/>
    <w:rsid w:val="00C011FE"/>
    <w:rsid w:val="00C02EDA"/>
    <w:rsid w:val="00C12587"/>
    <w:rsid w:val="00C13351"/>
    <w:rsid w:val="00C30FC1"/>
    <w:rsid w:val="00C40B3E"/>
    <w:rsid w:val="00C74D17"/>
    <w:rsid w:val="00C760F2"/>
    <w:rsid w:val="00C81C66"/>
    <w:rsid w:val="00C81ECB"/>
    <w:rsid w:val="00C93607"/>
    <w:rsid w:val="00C961A2"/>
    <w:rsid w:val="00CA5525"/>
    <w:rsid w:val="00CB1C4C"/>
    <w:rsid w:val="00CB2E10"/>
    <w:rsid w:val="00CB5CCA"/>
    <w:rsid w:val="00CC5D1F"/>
    <w:rsid w:val="00CD3A16"/>
    <w:rsid w:val="00CD41C5"/>
    <w:rsid w:val="00CD5915"/>
    <w:rsid w:val="00CE14D0"/>
    <w:rsid w:val="00CE57D4"/>
    <w:rsid w:val="00CE7D79"/>
    <w:rsid w:val="00CF2E75"/>
    <w:rsid w:val="00D028B3"/>
    <w:rsid w:val="00D03F2C"/>
    <w:rsid w:val="00D129FF"/>
    <w:rsid w:val="00D322F3"/>
    <w:rsid w:val="00D33827"/>
    <w:rsid w:val="00D41707"/>
    <w:rsid w:val="00D4608E"/>
    <w:rsid w:val="00D463BA"/>
    <w:rsid w:val="00D51B26"/>
    <w:rsid w:val="00D56C03"/>
    <w:rsid w:val="00D82ECB"/>
    <w:rsid w:val="00D86BCE"/>
    <w:rsid w:val="00D945F7"/>
    <w:rsid w:val="00DA38DE"/>
    <w:rsid w:val="00DB77C1"/>
    <w:rsid w:val="00E2121E"/>
    <w:rsid w:val="00E317CC"/>
    <w:rsid w:val="00E35415"/>
    <w:rsid w:val="00E35ACB"/>
    <w:rsid w:val="00E52710"/>
    <w:rsid w:val="00E663C7"/>
    <w:rsid w:val="00E7144F"/>
    <w:rsid w:val="00E938AE"/>
    <w:rsid w:val="00EA3ED8"/>
    <w:rsid w:val="00EA566C"/>
    <w:rsid w:val="00EB2319"/>
    <w:rsid w:val="00EB41EB"/>
    <w:rsid w:val="00EC2097"/>
    <w:rsid w:val="00ED06F7"/>
    <w:rsid w:val="00EE6299"/>
    <w:rsid w:val="00EE6891"/>
    <w:rsid w:val="00F00840"/>
    <w:rsid w:val="00F02613"/>
    <w:rsid w:val="00F1477F"/>
    <w:rsid w:val="00F2081B"/>
    <w:rsid w:val="00F23A7C"/>
    <w:rsid w:val="00F258E4"/>
    <w:rsid w:val="00F304A6"/>
    <w:rsid w:val="00F30C55"/>
    <w:rsid w:val="00F30DCA"/>
    <w:rsid w:val="00F34917"/>
    <w:rsid w:val="00F41171"/>
    <w:rsid w:val="00F752A3"/>
    <w:rsid w:val="00F926A6"/>
    <w:rsid w:val="00F92D8F"/>
    <w:rsid w:val="00F96F69"/>
    <w:rsid w:val="00FA7273"/>
    <w:rsid w:val="00FA7EE6"/>
    <w:rsid w:val="00FB768C"/>
    <w:rsid w:val="00FC0B93"/>
    <w:rsid w:val="00FC328C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6E7E27"/>
    <w:rPr>
      <w:smallCaps/>
      <w:color w:val="5A5A5A" w:themeColor="text1" w:themeTint="A5"/>
    </w:rPr>
  </w:style>
  <w:style w:type="table" w:customStyle="1" w:styleId="TaulukkoRuudukko2">
    <w:name w:val="Taulukko Ruudukko2"/>
    <w:basedOn w:val="Normaalitaulukko"/>
    <w:next w:val="TaulukkoRuudukko"/>
    <w:rsid w:val="0084449F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8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057AD"/>
    <w:rsid w:val="0008182F"/>
    <w:rsid w:val="0012646E"/>
    <w:rsid w:val="00142FAB"/>
    <w:rsid w:val="00154A9C"/>
    <w:rsid w:val="001740EA"/>
    <w:rsid w:val="0017732F"/>
    <w:rsid w:val="001D0529"/>
    <w:rsid w:val="00241DC7"/>
    <w:rsid w:val="002517E4"/>
    <w:rsid w:val="002729F6"/>
    <w:rsid w:val="002A579D"/>
    <w:rsid w:val="002B2D74"/>
    <w:rsid w:val="00355CF1"/>
    <w:rsid w:val="00383557"/>
    <w:rsid w:val="00394816"/>
    <w:rsid w:val="003B26D2"/>
    <w:rsid w:val="003C6E7C"/>
    <w:rsid w:val="0045769F"/>
    <w:rsid w:val="0046649D"/>
    <w:rsid w:val="00473E7F"/>
    <w:rsid w:val="004C6439"/>
    <w:rsid w:val="0050663F"/>
    <w:rsid w:val="005138B7"/>
    <w:rsid w:val="0053391F"/>
    <w:rsid w:val="00562434"/>
    <w:rsid w:val="005B0370"/>
    <w:rsid w:val="005F5765"/>
    <w:rsid w:val="00605E55"/>
    <w:rsid w:val="006112E1"/>
    <w:rsid w:val="00647C21"/>
    <w:rsid w:val="00672A3C"/>
    <w:rsid w:val="006866B2"/>
    <w:rsid w:val="006D52A3"/>
    <w:rsid w:val="006E5927"/>
    <w:rsid w:val="006E7158"/>
    <w:rsid w:val="00760091"/>
    <w:rsid w:val="007C5DD4"/>
    <w:rsid w:val="007D3F98"/>
    <w:rsid w:val="00863779"/>
    <w:rsid w:val="008A6DB9"/>
    <w:rsid w:val="008E1CB3"/>
    <w:rsid w:val="008F1B86"/>
    <w:rsid w:val="0095780E"/>
    <w:rsid w:val="00966E53"/>
    <w:rsid w:val="009857E1"/>
    <w:rsid w:val="009975E8"/>
    <w:rsid w:val="009A5453"/>
    <w:rsid w:val="00A5053A"/>
    <w:rsid w:val="00B061E9"/>
    <w:rsid w:val="00B469F3"/>
    <w:rsid w:val="00B509E8"/>
    <w:rsid w:val="00B6123F"/>
    <w:rsid w:val="00B96D34"/>
    <w:rsid w:val="00C34E0B"/>
    <w:rsid w:val="00CE6014"/>
    <w:rsid w:val="00D02FFB"/>
    <w:rsid w:val="00D62A58"/>
    <w:rsid w:val="00F43010"/>
    <w:rsid w:val="00F80B84"/>
    <w:rsid w:val="00F82EBD"/>
    <w:rsid w:val="00FB3C12"/>
    <w:rsid w:val="00FB74BA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767</Words>
  <Characters>6215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4</cp:revision>
  <cp:lastPrinted>2025-04-17T09:31:00Z</cp:lastPrinted>
  <dcterms:created xsi:type="dcterms:W3CDTF">2025-05-13T08:34:00Z</dcterms:created>
  <dcterms:modified xsi:type="dcterms:W3CDTF">2025-05-14T08:28:00Z</dcterms:modified>
</cp:coreProperties>
</file>